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for Finance &amp; Operations leads the budget development process.  The process begins late October to early November with calendar development and roll forward of "known" budget items, such as contractual salaries and benefits, and debt service.  The individual school enrollment percentage to the district enrollment as a whole is used to allocate instructional material aids (textbook, software, hardware, library), materials and supplies, and district-wide codes such as: equipment, field trips, school physician, etc.  Building specific funds are allocated based on contractual obligations, i.e. clubs, intramurals, sports, as noted in bargaining unit contracts.  Building principals and department leaders are asked to provide their specific budget needs before leaving for the winter break.  Meetings are held with curriculum leaders and human resources to address personnel additions or excessing based on enrollment.  The Director of Student Services provides budget input for students with disabilities.  Central Administration (Superintendent, Finance &amp; Operations, Human Resources, and Curriculum &amp; Instruction) meets in mid-January for a line by line review of the first draft.  In February, the first draft is presented to the Board of Education, which focuses primarily on revenues and the tax levy calculation.  The Board provides input and guidance on the preliminary appropriations budget.  Central Administration will meet to incorporate the Board's input as well as to continue updates as final figures become available. There will be one-two more budget presentations in March based on revisions as final figures become available and revisions based on Board input.  Board adoption of the budget is in late March or early April.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differences between similar schools are primarily due to the experience level of the teaching staff in each building and the specific programs housed in a particular school, i.e. self-contained programs.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