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no formula in place to allocate to the four schools in the district.  The district allocates funds based on the district initiatives, educational programs, student enrollment and needs of students estimated on previous years spending and projected changes staff and new initiatives.  Each Year around early January, the Superintendent and Business Administrator sits down with the Administrative team on an individual basis to access what changes have happened over the past 12 months. Programs and staff are reviewed. Class sizes are reviewed and tracked from year to year to adjust for an exceptionally small or large class. Recommendations are made to what budget lines could be reduced and what funding the building level administration would like to see added to make their programs stronger. All budget lines are looked at by comparing actual expenditures to budget for the last 3 to 5 years.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The Board has a finance committee that meets monthly year-round to help direct the decisions being made.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If a history teacher were to retire it may make funding available for a reading teacher to be hired.  This may change the staffing level across buildings.  The district has a very transient population with high needs.  It is necessary to allow for a high number of students to move into the district and receive services.  It is hard to predict at a building level what the increases will be so this is budgeted on a district wide level.  Most special needs services are purchased through the BOCES.  A high percentage of the hardware such as computers and xerox machines are leased through BOCES to generate a consistent aid stream. This helps to maximize the use of the districts funding and is budgeted on a building wide basis. For the 2020-2021 school year the district has starter their own UPK program to have better oversite of the UPK program.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