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no formula in place to allocate to the four schools in the district.  The district allocates funds based on the district initiatives, educational programs, student enrollment and needs of students estimated on previous years spending and projected changes staff and new initiatives.  Each Year around early January, the Superintendent and Business Administrator sits down with the Administrative team on an individual basis to access what changes have happened over the past 12 months. Programs and staff are reviewed. Class sizes are reviewed and tracked from year to year to adjust for an exceptionally small or large class. Recommendations are made to what budget lines could be reduced and what funding the building level administration would like to see added to make their programs stronger. All budget lines are looked at by comparing actual expenditures to budget for the last 3 to 5 years.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The Board has a finance committee that meets monthly year-round to help direct the decisions being made.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If a history teacher were to retire it may make funding available for a reading teacher to be hired.  This may change the staffing level across buildings.  The district has a very transient population with high needs.  It is necessary to allow for a high number of students to move into the district and receive services.  It is hard to predict at a building level what the increases will be so this is budgeted on a district wide level.  Most special needs services are purchased through the BOCES.  A high percentage of the hardware such as computers and xerox machines are leased through BOCES to generate a consistent aid stream. This helps to maximize the use of the districts funding and is budgeted on a building wide basis. For the 2020-2021 school year the district has starter their own UPK program to have better oversite of the UPK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