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by the business manager, with collaboration from the Superintendent. Student needs are translated into the budget by taking into consideration feedback from administrators, faculty and staff about specific student needs. For example, if an administrator believes students required additional education assistance, it would be discussed during the budget process (and throughout the entire fiscal year) to determine if it would be possible to include appropriations for a homework assistance group. The budget process begins in December and lasts until the tax warrant is adopted (in August). 
</w:t>
      </w:r>
    </w:p>
    <w:p>
      <w:pPr>
        <w:ind w:left="720"/>
      </w:pPr>
      <w:r>
        <w:rPr>
          <w:rFonts w:ascii="Garamond" w:hAnsi="Garamond"/>
        </w:rPr>
        <w:t>
</w:t>
      </w:r>
    </w:p>
    <w:p>
      <w:pPr>
        <w:ind w:left="720"/>
      </w:pPr>
      <w:r>
        <w:rPr>
          <w:rFonts w:ascii="Garamond" w:hAnsi="Garamond"/>
        </w:rPr>
        <w:t>B. The business manager holds meetings with all administrators and faculty representatives from every grade level in the elementary school as well as every department in the junior/senior high school. Meetings are also conducted with department heads (i.e., technology, transportation, facilities, school lunch) and other administrative and support staff. The BOE's role is to evaluate the proposed budget presented by the Business Manager, ask questions, provide feedback and request changes to the budget as applicable. The BOE does this while considering the needs of the District's students while balancing these needs with the taxpayer burden. The needs of individual buildings/schools are represented both administrators, faculty and staff from both the elementary school and the junior/senior high school.
</w:t>
      </w:r>
    </w:p>
    <w:p>
      <w:pPr>
        <w:ind w:left="720"/>
      </w:pPr>
      <w:r>
        <w:rPr>
          <w:rFonts w:ascii="Garamond" w:hAnsi="Garamond"/>
        </w:rPr>
        <w:t>
</w:t>
      </w:r>
    </w:p>
    <w:p>
      <w:pPr>
        <w:ind w:left="720"/>
      </w:pPr>
      <w:r>
        <w:rPr>
          <w:rFonts w:ascii="Garamond" w:hAnsi="Garamond"/>
        </w:rPr>
        <w:t>C. No, the District does not use a formula to allocate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per pupil spending at the two locations is relatively consistent across our two schools. However, the slightly greater high school cost per pupil may be attributed to high school students being offered various electives and career and technical education opportunities that would not be appropriate for an elementary school. Further, it is important to note that our total spending across the two schools is very nearly equal (and is actually slightly higher for the elementary school), however there are more students in the elementary school and fewer in our junior/senior high school. Due to course requirements, we are unable to reduce staff at the high school level (despite the slightly lower student count) without risking failure to meet course requirements.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