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asst. supt. for business lead the budget development process which begins in October and ends with a proposed budget in March for the board to review.  We follow a budget calendar that is developed in August of each year and approved by the board.  This is shared with building principals, directors and other assistant superintendents.  New staff requests, supplies, equipment and other requests are developed by the principals, directors and superintendents and submitted in January to the assistant superintendent for business.  The student needs are addressed by each building and department based on the curriculum based instruction, number of students per classroom and a zero based budget.  Once the budget is projected, it is presented to the board of education and they adopt the budget in April. We do not use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has experienced a reduction in staff for the past 2 years and in the current year.  This is due to a retirement incentive offered in the teaching contract as of 2017-18 school year.  The results of this are a reduction in the costs for the salary through out the district and the Round Hill elementary building had a large number of staff retire or transfer and the replacements were lower on the salary schedules.  The costs for the high school building per student are higher than the other buildings due to the number of staff that have longevity with the district.  In addition, we offer block scheduling and this can lead to requiring more staff than on a regular schedule.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experienced a large increase in the special education population.  This is due to a number of new families moving in to the district with prior classification and the changing demographics.  There has been a movement of parentally placed parochial student families into the district and a large amount of these students have special needs.  This has driven up our expenses in the special education area.  In addition, we have aging technology and due to Covid 19 and the change to remote learning, the district has increased these line items.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