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is lead by the Assistant Superintendent for Business.  We have discussions at all levels to discuss budgetary needs of the District.  Budgets are generally based on a rollover budget but are adjusted up or down depending upon funding and/or revenue in any particular year.  Principals and Department heads are involved in the budget process as we meet each individually to discuss their building or department's needs.  The District has a Budget Advisory Committee that meets several times during the budget process.  We also have approximately 6 or 7 public budget meetings.  The budget process is a year round process, analyzing and collecting data but the formal meetings begins in December/January and continue up until the board of education adopts the budget.  There is no specific formula but generally school budgets are based on enrollment.  Since revenues are scarce, these budgetary figures do not see yearly fluctuation in the amount budgeted.</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There should not be any extreme differences regarding location averages.  The secondary school is probably slightly more because of the the age level and cost of educating older children is greater.  Also, there is a significant difference is teacher cost depending upon their years in the District.  A new teacher Salary can be less than half of our most senor teacher.  This can have an impact on costs per student at any particular building.</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