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will set up a budget development calendar and provide it to all individuals involved. Meetings are scheduled with all building principals, directors, coordinators, other Assistant Superintendents, Superintendent of Schools, and any other individuals involved in the budget development. Each respective individual will prepare a budget for their respective building or area with all their needs and wants for the coming year. Each individual will discuss their respective budget with the Assistant Superintendent for Business. Adjustments are made based on discussions. The Assistant Superintendent for Business will compile all the budgets, as well as the District wide expenditures and salaries into a proposed budget. The proposed budget is presented to the Superintendent of Schools and the Board of Education for review. Adjustments to the budget are made based on the feedback from the Superintendent and Board. Once completed the budget is presented to the Board for adoption. In May, the proposed budget is presented to the voters for approval.
</w:t>
      </w:r>
    </w:p>
    <w:p>
      <w:pPr>
        <w:ind w:left="720"/>
      </w:pPr>
      <w:r>
        <w:rPr>
          <w:rFonts w:ascii="Garamond" w:hAnsi="Garamond"/>
        </w:rPr>
        <w:t>
</w:t>
      </w:r>
    </w:p>
    <w:p>
      <w:pPr>
        <w:ind w:left="720"/>
      </w:pPr>
      <w:r>
        <w:rPr>
          <w:rFonts w:ascii="Garamond" w:hAnsi="Garamond"/>
        </w:rPr>
        <w:t>Salaries are allocated to each building based on the employees assigned to the building. Staffing of each building is determined based on the needs of the individual building. As teachers or staff retire or separate for the District, those needs are met through new hires or employee building transfer.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rate by school will vary based on the assigned employees (most staff have been assigned to their building from date of hire) and the make up of the student population. Therefore, some schools have employees that have been employed with the district for a longer period of time than others. These employees will be paid on a higher salary step than others. In addition, one school (Shaw Avenue School) has the highest student enrollment so the average per pupil will be lower.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Valley Stream 30 UFSD ("VS30") is an elementary school district with Valley Stream Central High School District serving the District's student after the 6th grade. In addition, the Valley Stream Central High School District operates the School Lunch Program within the VS30 buildings. VS30 does not incur any expenditures or generate revenues from the school lunch program; all expenditures and revenues are recognized by the Valley Stream Central High School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