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With approximately 60% of our budget consisting of personnel and fringe benefits, we begin the budget process on staffing.  Regular education staffing is based on enrollment, with input from the Director of Curriculum &amp; Instruction, as well as the building principals.  Special Education staffing is allocated to schools based on the number of special needs student per building, with input from the Director of Special Education.  Staffing for our ENL population is done in the same manner stated above.  Our main goal is to keep class sizes to numbers that are conducive to meeting the educational needs of students, and give equal amounts of support staff to each building.  Once staffing is complete we calculate our employees fringe benefits.  We base these on the estimated contribution rates we receive from NYS Teachers, and Employees retirement systems.  Then we meet with our Health Insurance carrier to review our cost.  The next step is to review our transportation costs, debt service costs, and our BOCES costs as these are a high percentage of our total budget.  Then administrators/directors meet to discuss the needs of each building and department.  Supplies and materials are allocated based on student needs, and academic programs offered in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One factor which explains why per pupil spending would vary is due to staffing.  Salaries and benefits for more senior staff would be dramatically higher than new staff.  We also serve a large population of refugees, immigrants, and special needs students, and the cost of providing educational services is much higher.   Based upon the residency of these students, this could dramatically increase the cost of per pupil spending at that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We do not feel there are any items beyond the Excel entries.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