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Union-Endicott funds are allocated focusing on a variety of factors. Allocations to each school are based on student population and class size ratios, which are outlined by the teacher contract.  Special education allocations are based on students with disabilities enrollment and IEP services.  ELL allocations are based on required services per SED.  Title I funding is allocated to each school based on per-pupil amount.  611 and 619 funding are based on students with disabilities programming and services at each of the buildings.  Community schools funding is allocated district-wide, with one FTE being shared among the four elementary schools, one at the middle school and one at the high school.  Other grant funding is specific to the funding allocations outlines by NYS Education Department.  Each year, the central office administration meet with building leaders to review current data and develop a list of needs for academic needs and programs that would benefit the progress of district students.  The budget is reviewed with each of the building leaders looking for consistency and any special needs that may have surfaced.  Working closely with the accountant and the BOCES Central Business Office, a draft budget is prepared and shared through a series of budget workshops with the Board of Education.  As the allocations are finalized from NYS, the Board makes a final decision on the budget and sends it to the community for the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LWW "Tiger Ventures" is a unique school, just 4 years old, that houses grades 8-12 as a nontraditional high school.  It has a very low enrollment by design to maximize instruction.  Due to this small student body, and the special services some of them require, the cost per pupil is higher than the other district schools.  In addition, this year, the decision was made to transfer the three 12:1:1 classes that were in the elementary wing to another elementary school in district and use the wing to house outside UPK and BOCES Crossroads programming.  Some other variances in the per pupil expenditures are related to the number of new teachers hired at the school costing less than veteran teachers.  One building has all the K-5 ENL program housed at their site, while two other buildings have the K-3 and 3-5 12:1:1 programs.  These programs have a variance of cost to them including the need for specialized teachers and service providers.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This is not applicable at this time.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