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is led by the Superintendent of Schools supported by the Assistant Superintendent for Business in collaboration with the Board of Education. The process begins in November and lasts through the budget vote in May. Monthly budget workshops are held. The district also uses Audit Committee and Budget Committee meetings to discuss budget topics. Weekly management meetings are held throughout the budget cycle with the district leadership team to analyze student and staff needs. The needs of the buildings are represented by the principals and Assistant Superintendent for Curriculum. Staff are also given the opportunity to submit budget requests for consideration based on their student population.  Staff may also make public presentations to the BOE to discuss budget requests and document need.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district's poverty rate hovers around 60% and is increasing, however, the district is considered land wealthy due to the high proportion of second homes and high property values. Many of the disadvantaged children who attend school in the district do not own property.</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