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focuses each year by looking at the needs of our students.  This changes from year to year.  Beginning in the summer, we involve our board of education who drive forward the educational goals based on student performance and needs assessment.  Our administrative team (along with input from teaching staff) always looks forward to see what each individual student needs for the coming year.  Community and parents also help guide our board and administrative team for what their children want and need.  This is done with the fiscal constraints to see what old may have to give to make way for new student needs without the use of formulas.  This process evolves through the entire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not applicable as we are a one-building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 to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