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During the budget development process funds are allocated based on enrollment in each of the buildings and the required scheduling of teachers to meet the student’s need. Because we only have one elementary, one middle and one high school the approach for each building is different. 
</w:t>
      </w:r>
    </w:p>
    <w:p>
      <w:pPr>
        <w:ind w:left="720"/>
      </w:pPr>
      <w:r>
        <w:rPr>
          <w:rFonts w:ascii="Garamond" w:hAnsi="Garamond"/>
        </w:rPr>
        <w:t>B.	The relevant stakeholders that are involved include the building principals, guidance office, Directors, Superintendent, and Assistant Superintendent for Educational Services. The building leaders make recommendations based on student need. The Superintendent &amp; Assistant Superintendent’s make allocation adjustments throughout the District based on the overall needs of the District. The Board of Education is also involved if/when changes will be made to programming.
</w:t>
      </w:r>
    </w:p>
    <w:p>
      <w:pPr>
        <w:ind w:left="720"/>
      </w:pPr>
      <w:r>
        <w:rPr>
          <w:rFonts w:ascii="Garamond" w:hAnsi="Garamond"/>
        </w:rPr>
        <w:t>C.	The only formula used in allocating funds is for instructional supplies allocated to teachers. Each building is allocated a per teacher amount.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may be higher due to the length of service of staff that results in a higher salary or the type of building &amp; it’s scheduling which determines the number of staff.</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