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Manageralong with conversations with the Superintendent initiates the budget in early December with salaries, benefits, debt service, known contractual cost, and estimates based on historical data. Revenue determined on best guestimates at the time before governor's budget comes out in January.  The working copy of the budget is presented to the Board in January. Discussions are then held on tax impact and educationl goals. Principals, and District Department heads then review options for extraordinary request for curriculum needs, equipment replacement, textbooks etc. The second version of the budget with changes recommended is presented to the Board and public in February. Final discussion are held on impact and needs. In March or April the budget is adopted by the board. Determined by where we are in the State Aid process and how we think that will affect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Nature of the beast in a small district such as ours. The salaries and benefits of teachers is a driving factor in any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