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Manageralong with conversations with the Superintendent initiates the budget in early December with salaries, benefits, debt service, known contractual cost, and estimates based on historical data. Revenue determined on best guestimates at the time before governor's budget comes out in January.  The working copy of the budget is presented to the Board in January. Discussions are then held on tax impact and educationl goals. Principals, and District Department heads then review options for extraordinary request for curriculum needs, equipment replacement, textbooks etc. The second version of the budget with changes recommended is presented to the Board and public in February. Final discussion are held on impact and needs. In March or April the budget is adopted by the board. Determined by where we are in the State Aid process and how we think that will affect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 Nature of the beast in a small district such as ours. The salaries and benefits of teachers is a driving factor in any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