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Finance Director and Superintendent lead the budget development. We begin in January with town hall meetings to get the communities involvement. We also have each school work with their building leadership team to determine what is needed moving forward. They will also meet with students to get building input. Buildings and Departments submit their budget proposals and it is reviewed by the Administration (includes all admins-building and district level) as a group. 
</w:t>
      </w:r>
    </w:p>
    <w:p>
      <w:pPr>
        <w:ind w:left="720"/>
      </w:pPr>
      <w:r>
        <w:rPr>
          <w:rFonts w:ascii="Garamond" w:hAnsi="Garamond"/>
        </w:rPr>
        <w:t>
</w:t>
      </w:r>
    </w:p>
    <w:p>
      <w:pPr>
        <w:ind w:left="720"/>
      </w:pPr>
      <w:r>
        <w:rPr>
          <w:rFonts w:ascii="Garamond" w:hAnsi="Garamond"/>
        </w:rPr>
        <w:t>The administration works together to determine what items should be added to the budget and gives suggestions on solutions that will help more than one group. The final items get added to the budget for the year. 
</w:t>
      </w:r>
    </w:p>
    <w:p>
      <w:pPr>
        <w:ind w:left="720"/>
      </w:pPr>
      <w:r>
        <w:rPr>
          <w:rFonts w:ascii="Garamond" w:hAnsi="Garamond"/>
        </w:rPr>
        <w:t>
</w:t>
      </w:r>
    </w:p>
    <w:p>
      <w:pPr>
        <w:ind w:left="720"/>
      </w:pPr>
      <w:r>
        <w:rPr>
          <w:rFonts w:ascii="Garamond" w:hAnsi="Garamond"/>
        </w:rPr>
        <w:t>Individual schools also receive a per pupil allocation in which the Principal has discretion as to how to be spend.  Items can include classroom materials, student activities, field trips, technology.  Instructional materials aid is allocated to the buildings based upon enrollment; however, we do allow transfer of monies should the needs the schools require. In addition, the District relies on a building needs index (1 to 4) to identify schools within the district to assist in reallocation of resources.  In the 2020-21 budget, we weighted the monies received by the schools depending upon their rating.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Seniority of staff and the corresponding higher wages according to the collective bargaining agreement.  We have have some schools which have more intensive special education classrooms so the costs are higher.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