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manager lead the budget development process, beginning in mid-November with a review of the spending patterns over the previous fiscal years. School principals and the CSE chairperson are very involved in the budget process, providing input and advice into changing needs of students. Our small district size allows these leaders to be aware of the individualized needs of students, whether it is for a special classroom, an out-of-district placement, a CTE placement, or a special piece of therapy equipment. We consider prior funding levels and spending history to determine feasibility of funding these requests. The budget is constantly changing along with student needs until the final budget adoption in April.
</w:t>
      </w:r>
    </w:p>
    <w:p>
      <w:pPr>
        <w:ind w:left="720"/>
      </w:pPr>
      <w:r>
        <w:rPr>
          <w:rFonts w:ascii="Garamond" w:hAnsi="Garamond"/>
        </w:rPr>
        <w:t> 
</w:t>
      </w:r>
    </w:p>
    <w:p>
      <w:pPr>
        <w:ind w:left="720"/>
      </w:pPr>
      <w:r>
        <w:rPr>
          <w:rFonts w:ascii="Garamond" w:hAnsi="Garamond"/>
        </w:rPr>
        <w:t>Throughout the budget process, we involve all teachers, department managers, and other administrative leaders to ensure needs of the district are heard and understood. Funds are reallocated where possible. Unions are involved in negotiating years, as the outcomes of negotiations have a significant impact on our budget. The role of our board of education is critical in budget development as they ask many questions and have a great deal of input on new ideas, reductions, and additions in all components. Input from the public is also valued through the board of education.  The needs of our school sites are represented by all aforementioned stakeholders.
</w:t>
      </w:r>
    </w:p>
    <w:p>
      <w:pPr>
        <w:ind w:left="720"/>
      </w:pPr>
      <w:r>
        <w:rPr>
          <w:rFonts w:ascii="Garamond" w:hAnsi="Garamond"/>
        </w:rPr>
        <w:t> 
</w:t>
      </w:r>
    </w:p>
    <w:p>
      <w:pPr>
        <w:ind w:left="720"/>
      </w:pPr>
      <w:r>
        <w:rPr>
          <w:rFonts w:ascii="Garamond" w:hAnsi="Garamond"/>
        </w:rPr>
        <w:t>The district does not use a formula to allocate funds to individual schools. With just two school sites, we are quickly able to adapt and make changes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