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building process is a comprehensive one that utilizes a number of approaches.  All work begins by first projecting all anticipated revenue to determine what can be supported within the constraints of the tax cap.  Initially, all staff are rolled forward and it is presumed they will begin the following year in the building they completed the year in.  Certainly, adjustments are made, retirements are accounted for, and programmatic shifts result in some adjustments along the way.  Student supplies and materials, textbooks, library books, office supplies, and other consumables are located to buildings based on enrollment projections.  Principals and Directors are asked for input, and additional funds may be allocated as deemed appropriate.  Capital projects and normal renovations/repairs/maintenance type projects are determined based upon priority, the building condition reports, administrator requests, and architect/engineer recommendations.  Equipment is also determined by a prioritized need or appropriate replacement cycle.  This narrative just represents a brief overview of the process, and additional details can be provided based on specific questions. Please feel free to reach out as needed.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Variances in per pupil spending can be caused by a number of factors, including: seniority of particular staff assigned in a building; the programs that might be housed in a building; i.e. Special Education or ENL hubs; a particular initiative or cyclical expenditure in a given year.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