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superintendent in conjunction with the three assistant superintendents meet with building level administration and department directors.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Each building level admin is provided a per pupil allocation based on projected enrollment for the coming school year as a basis for the building specific budget allocation.  This figure does not include staffing requirements.  Staffing is bargaining unit contract dependent and budgeted at the district level.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The budget development process begins in early December and continues through Board adoption typically in mid April.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Prior to budget review with District level administration, building level administration meets with department chairs and key building staff to formulate budgetary requests.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budget is presented to the Board and the community beginning in early February, budget adoption typically occurs in mid April.  During this period of time the Board participates in budget review of all areas and is afforded the opportunity to inquire and comment on budget allocations.  The community is also provided the opportunity to participate in at least one question and answer session focused specifically on budget.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Building level administration in addition to department level directors: technology, special education, facilities, athletics, health services, food service and security.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Each building is designated a per pupil allocation based on projected enrollment for the coming school year as a basis for the building specific budget allocation.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Yes, it is weighted by grade level and increases gradually increases from elementary to secondary.  In addition, the special education population is budgeted specific to the individual student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grade levels progress from elementary to secondary the per pupil cost allocation slightly increases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anticipates additional expenditures due to COVID-19 that will not continue in future years.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