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There is no “formal” formula that the district uses to annually determine budgetary and revenue allocations. The District is comprised of 10 School Buildings, Pre-k, K-6, Middle School and a High School. The District’s current budgeting and funding practices encourage shared decision making and planning at the local level by all stakeholders including administrators and faculty. Each building begins budget development in the late fall with a review of projected enrollment and anticipated needs, both staffing and otherwise. As the budget process develops, particularly through the process of NYS budget for state aid, programs and initiatives are prioritized culminating in a final proposed budget for official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additional time would be needed to analyze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