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There is no “formal” formula that the district uses to annually determine budgetary and revenue allocations. The District is comprised of 10 School Buildings, Pre-k, K-6, Middle School and a High School. The District’s current budgeting and funding practices encourage shared decision making and planning at the local level by all stakeholders including administrators and faculty. Each building begins budget development in the late fall with a review of projected enrollment and anticipated needs, both staffing and otherwise. As the budget process develops, particularly through the process of NYS budget for state aid, programs and initiatives are prioritized culminating in a final proposed budget for official budget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additional time would be needed to analyze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