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budgets according to each individual department and building. Each department or building leader/director submits a budget for his/her school based on need etc. Curriculum content specialists (CCS's) in ELA, PhysED, Language, SS, Science, Music and art also submit budgets for their perspective departments/areas broken down by building for those whose roles cover more than one building. The budgets submitted by both CCS and Building leaders are by building, Salaries are done at the Business office and this year have been assigned specific budget codes by building. There is not a formula used for general spending in any category. 
</w:t>
      </w:r>
    </w:p>
    <w:p>
      <w:pPr>
        <w:ind w:left="720"/>
      </w:pPr>
      <w:r>
        <w:rPr>
          <w:rFonts w:ascii="Garamond" w:hAnsi="Garamond"/>
        </w:rPr>
        <w:t>
</w:t>
      </w:r>
    </w:p>
    <w:p>
      <w:pPr>
        <w:ind w:left="720"/>
      </w:pPr>
      <w:r>
        <w:rPr>
          <w:rFonts w:ascii="Garamond" w:hAnsi="Garamond"/>
        </w:rPr>
        <w:t>Allocation of funds per building are based on programmatic needs at each building based on enrollment. The district does not have a formula for distributing funds. In the 19-20 school year the district increased the number of Integrated co-teaching (ICT ) in the elementary schools allowing that students within catchment areas can attend the school they live in. Each Building leader evaluates class size, academic growth (or not) and recommends programs based on the data. Program/staffing needs are reviewed and compared to existing staffing levels and recommendations are presented to the BOE. Each building /Department leader is responsible to allocate funds for materials and supplies, or contractual need.  Together as a leadership team - based on the tax cap and revenue we make decisions to increase or decrease spending based on enrollment and academic performance.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