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led by the Superintendent of Schools and the Business Official.  The budget development process encompasses the needs of students through a collaboration process that starts in November and goes right through the final budget hearing when the budget gets adopted. The Superintendent, Principals and Department Directors along with the Business Official have individual meetings to discuss  changes in staff or enrollment that may drive the decision making process. 
</w:t>
      </w:r>
    </w:p>
    <w:p>
      <w:pPr>
        <w:ind w:left="720"/>
      </w:pPr>
      <w:r>
        <w:rPr>
          <w:rFonts w:ascii="Garamond" w:hAnsi="Garamond"/>
        </w:rPr>
        <w:t>The District is very open and transparent in the decision making process.  It sets real goals and communicates them out to the public at meetings.  Each department head  gives a budget presentation using projected enrollment and staff information to support their program needs and new initiatives about the upcoming year.  The School Board is present for all meetings and Q&amp;A takes place to establish final decisions on funding the budget.  The District does look at the amount of funding allocated to each building but does not use a formula to arrive at the allocation.  The salaries are driven by bargaining unit contracts but the need for M&amp;S is more or less allocated evenly by school and distributed to the content area based on need.  Sciences and Art being more needy for supplies etc.  The Principals and the Superintendent wwork collaboratively to address the individual needs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Putnam Valley does not have unique needs in any one particular building.  However, salaries can shift the cost higher in one building than another when there are many senior members on the faculty.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