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is led by the Assistant Superintendent for Business. Representing the needs of the students, the Department and Grade Level Chairs assess the needs of grades and departments, bringing those to the building principals. The principals represent the individual buildings. They then bring those needs to the Asst Superintendent who then finalizes the budgets. The school board sets guidelines for the ultimate budget figures. Once finalized, they then vote and approve, sending this approved budget to the voters. This whole process begins in November for the upcoming school year and runs through about April in order to present to voters in May. Budget needs are evaluated on an ongoing basis. The district does not use a formula for allocation to schools, the budget figures are based on projected costs relative to prior years' spending and projected salaries and benefits..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Due to recent events, custodial and maintenance costs will be higher due to higher needs for PPE and supplies for mandated social distancing and sterilization procedures.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