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As each year's budget is developed, the administrators meet to determine the needs of each building based on program requirements, enrollment, special education needs and district goals.  Data is reviewed annually, which helps to determine to which building additional resources by need to be allocated.  This may be in the form of additional AIS services, after school assistance, special education supports, or additional electives in the high school.
</w:t>
      </w:r>
    </w:p>
    <w:p>
      <w:pPr>
        <w:ind w:left="720"/>
      </w:pPr>
      <w:r>
        <w:rPr>
          <w:rFonts w:ascii="Garamond" w:hAnsi="Garamond"/>
        </w:rPr>
        <w:t>
</w:t>
      </w:r>
    </w:p>
    <w:p>
      <w:pPr>
        <w:ind w:left="720"/>
      </w:pPr>
      <w:r>
        <w:rPr>
          <w:rFonts w:ascii="Garamond" w:hAnsi="Garamond"/>
        </w:rPr>
        <w:t>For some of the expenses, they were allocated to the specific building:  i.e. teacher salary, administrator salary, BOCES costs, etc.
</w:t>
      </w:r>
    </w:p>
    <w:p>
      <w:pPr>
        <w:ind w:left="720"/>
      </w:pPr>
      <w:r>
        <w:rPr>
          <w:rFonts w:ascii="Garamond" w:hAnsi="Garamond"/>
        </w:rPr>
        <w:t>Other expenses were allocated based on enrollment (overall enrollment or special ed enrollment).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