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uses a budget development process that builds on the previous year's building or department budget.   The Superintendent of Schools and Assistant Superintendent for Business lead the budget develoment process each year.   We start the budget development process each Fall and it goes until board adoption of the budget in early April.   The administrative team meets reguarly in January through March to develop recommendations to the board of education, which are then regularly disucussed with the board at public board meetings to get their comments, concerns.   Individual building and department administrators make sure their buildings and departments needs and priorities are brought to the budget discussion table and help in prioritizing into the district wide budget that is recommended to the board of education for adoption.
</w:t>
      </w:r>
    </w:p>
    <w:p>
      <w:pPr>
        <w:ind w:left="720"/>
      </w:pPr>
      <w:r>
        <w:rPr>
          <w:rFonts w:ascii="Garamond" w:hAnsi="Garamond"/>
        </w:rPr>
        <w:t>
</w:t>
      </w:r>
    </w:p>
    <w:p>
      <w:pPr>
        <w:ind w:left="720"/>
      </w:pPr>
      <w:r>
        <w:rPr>
          <w:rFonts w:ascii="Garamond" w:hAnsi="Garamond"/>
        </w:rPr>
        <w:t>We have not used any specific formula for allocating funds district wide except the 100% state reimbursable expenses for textbooks, library materials, software, and hardware, which are allocated to each building as per their enrollment dictates.   All other budget allocations are built on the previous year's allocation by building or department with the building administrator or director given the latitude to reallocate dollars within their building or department budgets.   Orchard Park has not established a per student allocation because of the different needs and costs associated with the different types of classes and programs within each of the buildings.   Because budgets are tight with the tax cap and minimal state aid increases year-to-year, we have reallocated funds, if needed, between buildings or departments instead of adding more dollars to the budget on a per pupil amount across the board.   This way we have the flexibility to redistribute budget dollars to the building/department it is needed on an annual basis without committing specific minimum allocations on a per student basis.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Windom Elementary's allocation per student ends up being a little higher because they are our only Title I school.   They receive extra funding for that.   
</w:t>
      </w:r>
    </w:p>
    <w:p>
      <w:pPr>
        <w:ind w:left="720"/>
      </w:pPr>
      <w:r>
        <w:rPr>
          <w:rFonts w:ascii="Garamond" w:hAnsi="Garamond"/>
        </w:rPr>
        <w:t>
</w:t>
      </w:r>
    </w:p>
    <w:p>
      <w:pPr>
        <w:ind w:left="720"/>
      </w:pPr>
      <w:r>
        <w:rPr>
          <w:rFonts w:ascii="Garamond" w:hAnsi="Garamond"/>
        </w:rPr>
        <w:t>South Davis is a little higher because they are our smallest building.   We have the same administrative and office structure there as the other elementary buildings, and also class sizes tend to be a little smaller to make sure we stay within the Board of Education's class size guideline caps.   So when funding per pupil is calculated, it will naturally be a little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