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School Business Administrator lead the budget development process.  The Business Administrator works with the building principals and other administrators to translate the needs of the students into budget line items.  The budget development process begins in November of each year and goes through April, depending on the state budget and when that is passed.  
</w:t>
      </w:r>
    </w:p>
    <w:p>
      <w:pPr>
        <w:ind w:left="720"/>
      </w:pPr>
      <w:r>
        <w:rPr>
          <w:rFonts w:ascii="Garamond" w:hAnsi="Garamond"/>
        </w:rPr>
        <w:t>B.  The following employees are involved in the purchasing process, teachers, administrators, managers, and directors.  The role of the school board is to review the budget and ensure that the programs and services being offered are reflected in what the district student's need.  They approve the budget and tax levy.  The principals, administrators, and teachers represent the needs of the buildings.
</w:t>
      </w:r>
    </w:p>
    <w:p>
      <w:pPr>
        <w:ind w:left="720"/>
      </w:pPr>
      <w:r>
        <w:rPr>
          <w:rFonts w:ascii="Garamond" w:hAnsi="Garamond"/>
        </w:rPr>
        <w:t>C.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that I am aware of.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