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There is no “formal” that the district uses to annually determine budgetary and revenue
</w:t>
      </w:r>
    </w:p>
    <w:p>
      <w:pPr>
        <w:ind w:left="720"/>
      </w:pPr>
      <w:r>
        <w:rPr>
          <w:rFonts w:ascii="Garamond" w:hAnsi="Garamond"/>
        </w:rPr>
        <w:t>allocations. The District is comprised of 4 buildings: Pre-K –2; Grades 3-5; Middle School and a High
</w:t>
      </w:r>
    </w:p>
    <w:p>
      <w:pPr>
        <w:ind w:left="720"/>
      </w:pPr>
      <w:r>
        <w:rPr>
          <w:rFonts w:ascii="Garamond" w:hAnsi="Garamond"/>
        </w:rPr>
        <w:t>School. The District’s current budgeting and funding practices encourage shared decision making and collaborative planning at the local level by all stakeholders including administrators and faculty. Each building begins building their budgets in late fall. Zero based budgeting practices typically occurs in order analyze building level budgets with projected funding allocations in order to determine priorities and balance. A list of program and academic priorities are developed and decisions are collaboratively made based upon the ranking of needs – Highest to Lowest. Emerging academic and programming needs are also determined based upon current performance indicators. Once final allocation numbers are made available from NYS, the District then finalizes the budget process and reviews any  changes with building level staff prior to official adoption and acceptance by voters.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