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is a lead by the Board of Education, Superintendent and School Business Administrator. The assessment of overall needs of the District are summarized and budget developed to meet or exceed the educational needs of all students. 
</w:t>
      </w:r>
    </w:p>
    <w:p>
      <w:pPr>
        <w:ind w:left="720"/>
      </w:pPr>
      <w:r>
        <w:rPr>
          <w:rFonts w:ascii="Garamond" w:hAnsi="Garamond"/>
        </w:rPr>
        <w:t>The budget development begins in late 4th quarter, continues into early 1st quarter with the actual budget development.  Presentations at Board of Education meetings to the public throughout the development process allows for input and changes prior to the final budget being adopted prior to the vote.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District's overall small size has an impact on the higher per pupil costs. Due to the District being so small it is not afforded the opportunity to take advantage of economies of scale that larger districts benefit from. In addition, the District sees higher costs related to servicing of special education students as they are required to provide out of district placements for services that the District is not able to provide due to its size.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