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Superintendent of Schools and facilitated by the Assistant Superintendent for Business and Operations. It starts behind the scenes in October and continues through budget adoption by the Board of Education in April. The aim is to develop a budget that will support the district’s Strategic Action Plan that focuses on raising student achievement. Formulas are used to allocate funds to individual schools for materials and supplies, as well as textbooks. These allocations are made on a per student basis, with the amount per student being increased for secondary students over elementary students, due to secondary programs being more costly. Individual staff members work with their building administrators to direct these allocations to best meet the needs of the students in the buildings. Staffing for all areas is zero based, with the superintendent and his/her administrative council making final recommendations to the Board of Education. It is the duty of all administrators and department heads to look for potential savings, while ensuring that their individual budgets provide for the resources necessary to support the district’s Strategic Action Plan.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