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creates a budget based on a decentralized, zero based approach towards budgeting.  Each administrator is responsible for their own budget (object codes 200-599).  Staffing is based on actual people and where they are scheduled to work during the upcoming school year (clearly things change as the school year approaches and budget transfers become necessary for the funding to follow the staff member).  The needs of students are identified by the educational leaders (budget builders) and requests to support those needs are made through their individual budget submissions.  The budget process begins as early as August in each year and lasts straight through until the budget is adopted by the board of education in April.   For a very small part of the budget there are per-pupil allocations that are based on the state aid amounts to be received for Instructional Material Aid.  The District develops the appropriations budget ahead of being told the amounts of funding to be received from state aid.  As those numbers are released and recalculated, the district adjusts the appropriations as necessary to fit within the constraints associated with the limited aid received.  The budget is consistently discussed with the board of education during work-sessions.  There are multiple opportunities for community members to come forward at the district's "Budget Input" sessions.  Once fully compiled there are multiple reviews that take place where the Superintendent, the Deputy Superintendent, and the Board discuss items to be included in and excluded from the budget leading up to the recommended budget by the Superintendent for board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Yes, the class sizes as per board guidelines are the same throughout the district.  There is a cap that is adhered to.  The smaller buildings tend to have smaller class sizes where as the larger buildings tend to have larger class sizes.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