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creates a budget based on a decentralized, zero based approach towards budgeting.  Each administrator is responsible for their own budget (object codes 200-599).  Staffing is based on actual people and where they are scheduled to work during the upcoming school year (clearly things change as the school year approaches and budget transfers become necessary for the funding to follow the staff member).  The needs of students are identified by the educational leaders (budget builders) and requests to support those needs are made through their individual budget submissions.  The budget process begins as early as August in each year and lasts straight through until the budget is adopted by the board of education in April.   For a very small part of the budget there are per-pupil allocations that are based on the state aid amounts to be received for Instructional Material Aid.  The District develops the appropriations budget ahead of being told the amounts of funding to be received from state aid.  As those numbers are released and recalculated, the district adjusts the appropriations as necessary to fit within the constraints associated with the limited aid received.  The budget is consistently discussed with the board of education during work-sessions.  There are multiple opportunities for community members to come forward at the district's "Budget Input" sessions.  Once fully compiled there are multiple reviews that take place where the Superintendent, the Deputy Superintendent, and the Board discuss items to be included in and excluded from the budget leading up to the recommended budget by the Superintendent for board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 class sizes as per board guidelines are the same throughout the district.  There is a cap that is adhered to.  The smaller buildings tend to have smaller class sizes where as the larger buildings tend to have larger class sizes.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