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New Hartford Central School District’s approach to allocation of funding for each school building is based on student enrollment and specialized programs within the specific buildings. This is supported during the budget development process involving multiple constituents. The Board of Education and Administration work collaboratively throughout the school year to develop a fair and equitable budget that provides for the needs of all students while maintaining fiscal responsibility. Class sizes have been kept at traditional levels to promote quality instruction and is determined by Board Policy based on the range and number of students per grade level. Special Education needs are determined by each student’s individual educational plan vetted through the District’s Committee on Special Education. Expenses associated with these needs are then allocated to the building that the child is being served. Our District provides a standardized, district-wide guaranteed and viable curriculum that supports all learners K-12.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Myles Elementary School has the lowest enrollment of the three elementary schools and the highest percentage of students that qualify for Free and Reduced Price Lunch. In addition, it houses the only ENL program and the only 12:1:1 program for all District students in grades K-6. The district-wide 12:1:4 Developmental Program for students K-6 is based out of Bradley Elementary School. All of these factors contribute to higher than average pupil spending in those buildings. Federal/State Grant monies are allocated to the buildings that serve the population covered under the specific grant. For example, Title 1 Part A grant monies are allocated according to the staffing that supports the student needs at each of the three buildings that qualify based on FRPL. It provides academic support at Myles Elementary School, Perry Jr. High School, and the New Hartford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