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late December/early January and then those amounts are submitted to the district office for review in January.  The building budget begins with the previous year’s allocation and then is increased/decreased depending on the number of students and projected revenues.  Class sizes, federal funding allocations and specific building needs are considered.  Principals justify any dollar increases based on these categories to Central Admin and BOE.  Amounts are established for supplies, materials, computer software, library books, textbooks and copying costs based on historical data and current need.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