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are a PreK-8th single schoolhouse, so our funding is allocated to the whole building. The roles of stakeholders are the Superintendent, Business Official, the Board of Education and the community.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