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usually in the fall and lasts approximately 6 months. The Superintendent meets with the Deputy Superintendent, Asst Superintendents, Directors and Principals and reviews staffing needs based upon the projected enrollment.  They also review all programs that the District offers and evaluates them.  It is determined if the program should be continued, increased or eliminated.  The salaries of all staff members are then projected based upon contractual agreements with any increases or decreases for any projected staff changes or retirements. Debt principal and interest are budgeted based upon actual payments and TAN interest is estimated based upon projected borrowing needs and current interest rates.  Transportation, benefits and other contractual expenses are based upon current contracts or increased upon projected CPI. Building maintenance and building expenses are based upon current expenses or projected increases based upon future needs or increases due to inflation.  Textbook and technology needs are discussed between the Superintendent, Deputy Supt, Principals and Directors.  Each school receives a budget allocation for textbooks, supplies and materials based upon enrollment. If additional funds are needed, they complete a special request that may or may not get added to the budget based upon Supt approval and availability of funds.  
</w:t>
      </w:r>
    </w:p>
    <w:p>
      <w:pPr>
        <w:ind w:left="720"/>
      </w:pPr>
      <w:r>
        <w:rPr>
          <w:rFonts w:ascii="Garamond" w:hAnsi="Garamond"/>
        </w:rPr>
        <w:t>Once all the expenses are accumulated, the District reviews its projected revenues.  If the revenues are not sufficient to cover the expenses, the Board of Education decides whether to cut programs, staff, or other items to get the budget to an acceptable tax cap calculation.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Certain schools ( Eugene Auer Elementary ) expenses are higher than others due to senior staffing and more special education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