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Business Administrator and the Superintendent of Schools.  The budget development begins in November and ends with the Board of Education adoption of the budget in April followed by the school budget vote by the eligible voters of the District in May.  Budget development is a collaborative project with each administrator developing their own program budget.  In doing so, principals consult with instructional staff as necessary to best address classroom and programmatic needs.  Portions of the budget are presented to the Board of Education at their meetings, starting in January. 
</w:t>
      </w:r>
    </w:p>
    <w:p>
      <w:pPr>
        <w:ind w:left="720"/>
      </w:pPr>
      <w:r>
        <w:rPr>
          <w:rFonts w:ascii="Garamond" w:hAnsi="Garamond"/>
        </w:rPr>
        <w:t>School Board members provide feedback and questions during these presentations.  The district does not utilize a formula to allocate funds to individual schools.  Instead, funding amounts are allocated based on the specific needs of each school or department as communicated by the building principal or supervising administrator during the budget development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It is common for Middle/High School spending to exceed Elementary spending due to the number of electives provided at the high school level, as well as BOCES costs for students who attend out of district programs, such as CTE programs, alternative school, etc.</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