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Business Administrator lead the budget development process. The needs of the students are derived from building principals discussion with teachers. At the elementary school the principal has those discussions at grade level, but also includes special areas such as physical education, art, and music. In the junior/senior high school the principal has those discussions with subject level teachers (i.e.- math department, science, social studies, english, guidance, etc.).  The budget development process begins in mid-November and ends with the adoption of the budget by the Board of Education on or about April 1.  District employees involved in the budget development process include grade level and subject level teachers, 2 building principals, the director of instruction, the director of special education/CSE chair, the directors of transportation, food service, and facilities, the business administrator, and superintendent.  The role of the school board is represented by 3 members who sit on the district's budget committee. This committee is comprised of 3 BOE members and district administration.  Other school board members are updated on the progress of the budget committee throughout the budget development process and have the ability to ask questions and provide input when briefed.  The building principals represent the needs of the individual buildings throughout the budget development process.  The district does not employ any formulaic methodology to fund individual schools.  Funds are allocated based on where the greatest needs are and how those needs can be met most efficiently.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