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Board of Education, who holds an input meeting with the administrators and community in January to discuss areas of achievement by building and program, and areas where improvements are needed.
</w:t>
      </w:r>
    </w:p>
    <w:p>
      <w:pPr>
        <w:ind w:left="720"/>
      </w:pPr>
      <w:r>
        <w:rPr>
          <w:rFonts w:ascii="Garamond" w:hAnsi="Garamond"/>
        </w:rPr>
        <w:t>The Superintendent and Assistant Superintendents analyze the input and make recommendations for the budget.
</w:t>
      </w:r>
    </w:p>
    <w:p>
      <w:pPr>
        <w:ind w:left="720"/>
      </w:pPr>
      <w:r>
        <w:rPr>
          <w:rFonts w:ascii="Garamond" w:hAnsi="Garamond"/>
        </w:rPr>
        <w:t>The Assistant Superintendent for Business prepares the financial information.
</w:t>
      </w:r>
    </w:p>
    <w:p>
      <w:pPr>
        <w:ind w:left="720"/>
      </w:pPr>
      <w:r>
        <w:rPr>
          <w:rFonts w:ascii="Garamond" w:hAnsi="Garamond"/>
        </w:rPr>
        <w:t>The budget development process begins in November when buildings submit their requests, and lasts until the final budget presentation in April.
</w:t>
      </w:r>
    </w:p>
    <w:p>
      <w:pPr>
        <w:ind w:left="720"/>
      </w:pPr>
      <w:r>
        <w:rPr>
          <w:rFonts w:ascii="Garamond" w:hAnsi="Garamond"/>
        </w:rPr>
        <w:t>Funds are allocated based on the instructional and support needs of each building.
</w:t>
      </w:r>
    </w:p>
    <w:p>
      <w:pPr>
        <w:ind w:left="720"/>
      </w:pPr>
      <w:r>
        <w:rPr>
          <w:rFonts w:ascii="Garamond" w:hAnsi="Garamond"/>
        </w:rPr>
        <w:t>The staffing needs are determined by student enrollment documented by administrators. The Business Office then inputs salaries for all staff based on current contracts.Administrators estimate expenses for contractual services, textbooks, supplies and conferences based on expected actual usage.
</w:t>
      </w:r>
    </w:p>
    <w:p>
      <w:pPr>
        <w:ind w:left="720"/>
      </w:pPr>
      <w:r>
        <w:rPr>
          <w:rFonts w:ascii="Garamond" w:hAnsi="Garamond"/>
        </w:rPr>
        <w:t>Special Education services are estimated by the Director of Pupil Personnel Services based on actual IEP or 401 plans, or expected tuition charges, on an individual basis. 
</w:t>
      </w:r>
    </w:p>
    <w:p>
      <w:pPr>
        <w:ind w:left="720"/>
      </w:pPr>
      <w:r>
        <w:rPr>
          <w:rFonts w:ascii="Garamond" w:hAnsi="Garamond"/>
        </w:rPr>
        <w:t>BOCES expenses are budgeted based on the selection of actual services requested each year by administrators.
</w:t>
      </w:r>
    </w:p>
    <w:p>
      <w:pPr>
        <w:ind w:left="720"/>
      </w:pPr>
      <w:r>
        <w:rPr>
          <w:rFonts w:ascii="Garamond" w:hAnsi="Garamond"/>
        </w:rPr>
        <w:t> Transportation costs are based on prior year actual expenses and enrollment data..
</w:t>
      </w:r>
    </w:p>
    <w:p>
      <w:pPr>
        <w:ind w:left="720"/>
      </w:pPr>
      <w:r>
        <w:rPr>
          <w:rFonts w:ascii="Garamond" w:hAnsi="Garamond"/>
        </w:rPr>
        <w:t>Athletics and co-curricular costs are estimated based on actual student enrollment in programs and prior year costs.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Bayville Primary School has a higher per pupil cost due to the concentration of students with severe cognitive and social management IEP mandated needs that require special classes, teachers and teaching assistants.+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