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assistant superintendent for finance and management services is the designated individual to oversee the entire budget process. The process begins with the audit committee of the board of education reviewing the budget development calendar in October. Once the calendar has been approved by the board of education the assistant superintendent of finance works with a core team within the business office to prepare preliminary budget documents (district treasurer and principal account clerk). These documents are shared with building level principals (seven in total) and directors (six in total) at the end of October. The principals and directors are then responsible for engaging their stakeholders in the budget process within their buildings. Building level preliminary budgets are due to the assistant superintendent of finance by the third week in November. The directors budgets are due to the assistant superintendent of finance by the third week in December. Once all preliminary budgets have been received, individual meetings with upper level management (superintendent and assistant superintendents) are arranged to discuss them. The second week in January the audit committee of the board of education is given the preliminary budget based on all requests and they begin to analyze the expenditure requests based on current revenue projections. The assistant superintendent of personnel then begins to look at retirements and the need to fill those retirements the beginning of February. The executive director of curriculum then reviews curriculum requirements to meet SED standards. By the beginning of February preliminary state aid projections are released and the overall budget is scaled back to stay within the simple tax cap levy limit. The board of education discusses in depth the budget process twice a month from January through April. The meetings are televised for community members watching from home. The district website is consistently updated to provide budget information for the community. The PTA presidents for each building, the three unions in the district and the local newspaper are all provided with information and individuals presentations. The budget hearing is conducted in May and televised.</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We are a small city school district with a high poverty level. To ensure our students are provided with the best programming available to meet their social emotional needs each elementary school offers specialized programs. For instance one elementary school has a specialized program for the ELL students, two  elementary schools have specialized programs for self contained SWD. This allows the district to focus specialized resources in a greater number to help these students achieve. The district also contracts with a local provider to oversee the UPK program.</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