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school business official, and assistant superintendent of curriculum meet to discuss needs of buildings.  The building principals provide proposals for needs to present to the superintendent, school business official, and assistant superintendent.  The proposals deemed appropriate are itemized and qualified to the budget.  A budget committee consisting of four board of education members, the superintendent, and the school business official meet to discuss the building needs.  Allocations based on contracted salaries, benefits, and bonds are also presented in a spreadsheet format for the budget committee to discuss. The superintendent and the school business official lead the budget development process.  The needs of students are translated into the budget based on the requests of the three principals for the three buildings.  This includes supply needs, teacher and support staff needs, and additional course offerings. The budget process begins in December and goes through April.  The stakeholders involved include teachers, principals, administration, student services, guidance, director of facilities, superintendent, assistant superintendent, school business official, budget committee (4 board members) and the remaining full board on 3 occasions.  The business official also presents the full board in public session with a revenue budget and a expenditure budget three times during the budget process to get community feedback. The school board has members that sit on the budget committee to be part of the budget and provide insight as to where they want to spend more or less money, including what kind of tax levy the district can afford while building the expenditure budget.  The building principals represent the individual buildings. The district does not use a formula to allocate funds - it is based on building need.  There are not weightings for student needs as some buildings have more special needs students that far outweigh that cost of other students, therefore we base allocation on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building has far more students than either of the two buildings, making it appear that the allocation for that building is higher, but on average the buildings receive about the same amount per student unless their is a significant special education situation.  Additionally the elementary school was on the target list for a few years and extra funding was allocated to the building to help students achieve higher success in getting off the target list.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