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district wide administrative team with input from all stakeholder groups.  If follows the outline of the strategic plan.  
</w:t>
      </w:r>
    </w:p>
    <w:p>
      <w:pPr>
        <w:ind w:left="720"/>
      </w:pPr>
      <w:r>
        <w:rPr>
          <w:rFonts w:ascii="Garamond" w:hAnsi="Garamond"/>
        </w:rPr>
        <w:t>The budget focus on program and individual student needs.  Because the needs of individual students may vary from year to year within a building there is not a set formula.  Funds go where the needs are greatest.
</w:t>
      </w:r>
    </w:p>
    <w:p>
      <w:pPr>
        <w:ind w:left="720"/>
      </w:pPr>
      <w:r>
        <w:rPr>
          <w:rFonts w:ascii="Garamond" w:hAnsi="Garamond"/>
        </w:rPr>
        <w:t>The budget development process begins at the end of November and continues through the budget vote in May.
</w:t>
      </w:r>
    </w:p>
    <w:p>
      <w:pPr>
        <w:ind w:left="720"/>
      </w:pPr>
      <w:r>
        <w:rPr>
          <w:rFonts w:ascii="Garamond" w:hAnsi="Garamond"/>
        </w:rPr>
        <w:t>All employees are involved in the budget process.  Teacher leaders submit program based requests, and can submit impact item forms for special requests.  The principals review the requests and can make their own requests.  Administors and team leaders often present their requests to the School Board and public.  
</w:t>
      </w:r>
    </w:p>
    <w:p>
      <w:pPr>
        <w:ind w:left="720"/>
      </w:pPr>
      <w:r>
        <w:rPr>
          <w:rFonts w:ascii="Garamond" w:hAnsi="Garamond"/>
        </w:rPr>
        <w:t>The Entire school board is on the finance committee.  They share feedback throughout the process. Unfortunately the last few years we have had more cuts than growth.  This lends itself to difficult decisions, and the administration along with the Board of education must weigh in on what is best and most needed for our students
</w:t>
      </w:r>
    </w:p>
    <w:p>
      <w:pPr>
        <w:ind w:left="720"/>
      </w:pPr>
      <w:r>
        <w:rPr>
          <w:rFonts w:ascii="Garamond" w:hAnsi="Garamond"/>
        </w:rPr>
        <w:t>We generally do not use a formula to allocate funds.  We do not have multiple schools with the same grades.
</w:t>
      </w:r>
    </w:p>
    <w:p>
      <w:pPr>
        <w:ind w:left="720"/>
      </w:pPr>
      <w:r>
        <w:rPr>
          <w:rFonts w:ascii="Garamond" w:hAnsi="Garamond"/>
        </w:rPr>
        <w:t>Different courses require different supplies.   Funds are distributed by student and program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special education costs often drive the costs of one building over another.  
</w:t>
      </w:r>
    </w:p>
    <w:p>
      <w:pPr>
        <w:ind w:left="720"/>
      </w:pPr>
      <w:r>
        <w:rPr>
          <w:rFonts w:ascii="Garamond" w:hAnsi="Garamond"/>
        </w:rPr>
        <w:t>At the High school level we have many clubs and after school activities that have additional salary costs.
</w:t>
      </w:r>
    </w:p>
    <w:p>
      <w:pPr>
        <w:ind w:left="720"/>
      </w:pPr>
      <w:r>
        <w:rPr>
          <w:rFonts w:ascii="Garamond" w:hAnsi="Garamond"/>
        </w:rPr>
        <w:t>Our athletic program increases the costs at the High School and Middle school levels.  We also service a greater number of students at the secondary level.
</w:t>
      </w:r>
    </w:p>
    <w:p>
      <w:pPr>
        <w:ind w:left="720"/>
      </w:pPr>
      <w:r>
        <w:rPr>
          <w:rFonts w:ascii="Garamond" w:hAnsi="Garamond"/>
        </w:rPr>
        <w:t>
</w:t>
      </w:r>
    </w:p>
    <w:p>
      <w:pPr>
        <w:ind w:left="720"/>
      </w:pPr>
      <w:r>
        <w:rPr>
          <w:rFonts w:ascii="Garamond" w:hAnsi="Garamond"/>
        </w:rPr>
        <w:t>Some schools have more senior employees than others and that often escalates the expenses of one building over another.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We had several retirements this year in our teachers unit which we did not replace.  Last year the teachers extracurricular stipends were reported in with their salaries.
</w:t>
      </w:r>
    </w:p>
    <w:p>
      <w:pPr>
        <w:ind w:left="720"/>
      </w:pPr>
      <w:r>
        <w:rPr>
          <w:rFonts w:ascii="Garamond" w:hAnsi="Garamond"/>
        </w:rPr>
        <w:t>This year they are reported in with the other support catatory, which makes the increase in that area seem disproportionate.
</w:t>
      </w:r>
    </w:p>
    <w:p>
      <w:pPr>
        <w:ind w:left="720"/>
      </w:pPr>
      <w:r>
        <w:rPr>
          <w:rFonts w:ascii="Garamond" w:hAnsi="Garamond"/>
        </w:rPr>
        <w:t> 
</w:t>
      </w:r>
    </w:p>
    <w:p>
      <w:pPr>
        <w:ind w:left="720"/>
      </w:pPr>
      <w:r>
        <w:rPr>
          <w:rFonts w:ascii="Garamond" w:hAnsi="Garamond"/>
        </w:rPr>
        <w:t>We do not have duplicate schools with similar grade levels, therefore we do not implement a funding formula based on enrollment, but instead look at student need and program need.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