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School Business Administrator leads the budget development process in conjunction with the Superintendent, the Building Principals, the Director of Curriculum, the Director of Technology, and the Supervisors in Facilities and Transportation. We also rely on the Board of Education to give us guidelines as far as an allowable budget increase, maintaining a budget below the tax cap, and district priorities moving forward.  We start that process in December and it lasts until the Board of Education approves our budget in April.  Once we allow for contractual increases, we look to materials, supplies, and resources for students.  All our technology (student and staff) is on a replacement cycle.  There is a collaborative conversation around student needs at various grade levels and buildings.  We look at student achievement and gaps in learning and try to allocate resources to those areas in need.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Our total school funding per pupil is fairly in line across the district.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