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for both the general fund and the ESSA grants are led by the central office business staff, primarily by the Treasurer, the Superintendent and Coordinator of Federal Funds. The needs of the students are translated into the budget through a collaborative approach with the school administration (Principal, Department Heads and Committee Chairs). These budget development conversations begin in December and follows the budget calendar timeline. The school board members are made aware of  program requests and budget needs, and public input is solicited at board meetings. The district aligns its process with an approved budget calendar that concludes with the public vote on the budget and the creation of the annual Title I School -Wide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Kiryas Joel Union Free School District is comprised of one (1) Public School building that services classified students of special education. The school provides supplemental services through Title I funding.  There is no formula or approach used to allocate funds to “each school” as there are no other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