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process which begins in early October, with the Business Office personnel providing preliminary estimates of known budgetary items.  Then Assistant Superintendents, Directors and Building Principals along with the Facilities Director are consulted to determine school and building needs. Certain allocations are made on a per pupil basis (ie State aided instructional materials), others are allocated by building or department. Additional and supplemental resources are allocated by student need (ie itinerant services, special placements).
</w:t>
      </w:r>
    </w:p>
    <w:p>
      <w:pPr>
        <w:ind w:left="720"/>
      </w:pPr>
      <w:r>
        <w:rPr>
          <w:rFonts w:ascii="Garamond" w:hAnsi="Garamond"/>
        </w:rPr>
        <w:t> The Audit and Finance Committee of the Board reviews the budget thrughout the process.  The District holdsa number of public budget sessions  to engage and collect community input. The Board regulary reviews and discusses the budget at their monthly meeting from November until the Budget Vote.  Budget information is also disseminated through the district website and other media.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