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s are allocated funds with several approaches. Building leadership are allocated funds specific to their budgeting discretion based on total student enrollment multiplied by a flat dollar amount. These flat dollar amounts are consistent for all elementary buildings and are greater for middle and high school level buildings. There is also a flat $10,000 discretion amount that is distributed to each building principal. For staffing purposes, student needs, special education placements, and cost/benefit between staffing for programming vs outside and/or BOCES placements are considered. The majority of funding allocation is driven by student need and population demands. Special education classroom and academic support services typically generate a greater need for funding and additional dollars are driven towards those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