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the district is led by the school business official (Roxanne Miller/Richard Hartwell) and the superintendent (James Froio).  The Board of Education reviews the complete budget allocations, asks questions, approves, and sets the budget for final voter approval.  The needs of the students are always placed above all others when budget development and allocation is determined.  The director for special education is consulted relative to the needs of our students with disabilities.  Building principals provide estimated proposals for budgets relative to their building programs including instructional, extra-curricular, and athletic needs.  The school business official tracks the school budget development early in the preceding school year.  In November, the business official begins estimating revenues and expected appropriation needs for the following school year.  Using nVision and Forecast 5, Roxanne Miller/Richard Hartwell create a preliminary budget for the superintendent to review in December and January.  Formal budget review takes place in February through April with the Board of Education voting for final approval for the public in late April.  Voters determine approval/disapproval in May.  District employees involved in the budget development process include those individuals above:  superintendent, business official, building principals, board of education members, director for special education (Colleen Frawley), human resources personnel aid (Amy Lewis), technology director (Steve Mendrek), transportation director (Diane Miano), and the buildings/grounds superintendent (Vinny Smith).  We worked hard last year to separate out salaries and other building costs, such as supplies, individually by building.  We partnered with Forecast 5 to assist with transparency reporting.  Our district does not utilize a specific formula for weighting appropriation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