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building principals, director of student programs and athletic director begin to develop their building/program budget needs for the following year in November.  While no formula is used for distributing funds district wide, the district analyzes the final budget for equity annually. Building and program leaders, work with their instructional and support staff to develop building level needs for the student programs at their buildings, for the following year. These needs and requests are reviewed by the board of education in December and January.  The district develops a tentative budget for the following year in January and February.  The budget is reviewed at public meetings in February, March and April, where public comment and input is sought.  The district discusses the budget staffing implications with bargaining units in January and April.  A budget hearing is conducted for the public, where a line by line appropriations for the following years budget is available to all to review and comment prior to vote, generally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Since the district is composed of only having one elementary and one high school, the primary driver of differences in per pupil spending is driven differences between elementary and high school needs.   That said, the district spends approximately $14,700 on high school students and $14,100 elementary students which is only marginally more, about 4%.</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