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rom November through December of each budget development year, we request budget input from our Budget Supervisors which includes building-level administration.  The staffing needs are identified by Central Office Administrators based on programmatic requirements, student instructional needs/desires, input from Coordinators and Directors, student enrollment and any other State or Federal mandates.  We also look at trending in actual budget expenditures over a period of approximately five prior years to identify what a future budget need would reasonably be.  Throughout the budget development process, the Board of Education actively engages the community in a series of budget workshops to ensure public input is also garnered.  Both of the District's high schools offer comparable programs with the same set of expectations of staff and students.  Both of the District's middle schools offer comparable programs with the same expectations of staff and students.  All five of the District's elementary schools offer comparable programs with the same set of expectations of staff and students.  If a particular building is hosting a specialized District-wide program for a certain sub-set of students (i.e. an intensive program class for special education students), the "host" building will be selected based on physical facility capacity for the class, student enrollment, and staffing requirements/services which may already exist at the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lease see above regarding specialized District-wide programs which may be housed at an individual building due to a variety of reason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