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Business Manager leads the budget development process and meets with each of the stakeholders; Elementary Principal, JR/SR HS Principal as well as the CSE/Special Education Director. Their conveyance of the needs of students in the various grades and additional resources that will be needed for the new school year is discussed. The budget development process can start as early as December and go through April of the school year.
</w:t>
      </w:r>
    </w:p>
    <w:p>
      <w:pPr>
        <w:ind w:left="720"/>
      </w:pPr>
      <w:r>
        <w:rPr>
          <w:rFonts w:ascii="Garamond" w:hAnsi="Garamond"/>
        </w:rPr>
        <w:t>Each of the Department Heads are involved in the budget development process. Once the needs of the Department Heads has been discussed their needs are conveyed to the Board of Education with the approximate cost in the said department. As for the individuals representing the needs of the individual buildings it is the Building Principals at each site that does the representation for student needs and the Buildings &amp; Grounds Supervisor that shares the areas of needs of safety or any other modification.
</w:t>
      </w:r>
    </w:p>
    <w:p>
      <w:pPr>
        <w:ind w:left="720"/>
      </w:pPr>
      <w:r>
        <w:rPr>
          <w:rFonts w:ascii="Garamond" w:hAnsi="Garamond"/>
        </w:rPr>
        <w:t>The district uses the Feeder Pattern option and will serve the needs of all eligible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There is nothing unique currently.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