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which begins in December and ends when the budget is adopted by the Board of Education, usually in April.  The Assistant Superintendent for Business coordinates budget workshop meetings with all applicable stakeholders, including but not limited to:  the Board of Education, the Superintendent of Schools, the Elementary School Principal, the Middle School Principal, the Assistant Superintendent for Building &amp; Grounds, the Assistant Superintendent for Curriculum, the Director of Student Services, the Transportation Supervisor, the Athletic Director, and the Food Service Director.  Stakeholders prepare a list of budgetary requests and prioritize them based on the needs of the students and faculty.  This is a collaborative effort among all stakeholders for both the Elementary and Middle School and one individual is not solely responsible for ensuring an individual school secures necessary resources.  The district does not use a formula to allocate funds to individual schools; all budgetary allocations are based upon the quantitative analysis completed during budget workshops and consultation with parties listed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have a High School.  Therefore, the District enters in to contracts with surrounding High Schools, Chester UFSD and Warwick Valley CSD, to send our High School age students, grades 9-12 at predetermined tuition Rate plus increases per referenced contract.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