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processing by sending out budget information in November of each year to all building principals and the superintendent.  Each building principal shares the information with all teaching staff.  Teaching staff meet with their instructional teams to devise plans for submission of budget information based on student needs and curriculum plans. Teachers submit their plans for budget to their respective building principals in January and information is approved by the principal and sent forward to the superintendent and business manager.  There is no one specific formula to allocate funds to each individual school. There are  plans to implement educational needs by student based on teacher and administrative decisions.  The decisions impact what is spent by building to implement the plans each year. Expenditures can change based on moving teachers and teaching assistants to different grade levels between buildings. Unlike larger districts, the Granville district has three buildings. They all contain different grade levels.  When budget decisions are final from teacher and principal plans, the information is forwarded to the superintendent who meets with the principals to discuss the plans and expenditures.  When the superintendent has reviewed and approved the budget plans for expenditures,  the budget information is forwarded to the board of education. Three separate budget workshops are presented to the board of education and the public to discuss each line by line budget appropriation.  The workshops are held in February and March prior to the budget vote.  The budget process ends in April when the board of education adopts a budget to send out to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the junior senior high school level, there are additional costs for interscholastic sports and extracurricular activities which are associated with students enrolled in sports and extraclassroom clubs. Those costs would not exist at the elementary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