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1.  The budget development process is led by the Assistant Superintendent for Business once the budget development calendar is approved by the Board of Education.  While preparing for the annual operating budget, in December/January of the prior year, the Assistant Superintendent for Business shares the calendar, anticipated enrollment along with prior year expenditures.  Discussion ensues at administrative cabinet (including building principals of each of the district's four buildings, Director of Facilities, PPS Director, Technology Director, Superintendent of Schools and the Asst. Supt for Curriculum) meeting regarding class ratio, student needs and program incentives.  Following this meeting each building leader submits their desired funding levels to support their building's program.   They in turn meet with their faculty and staff to determine their students' and buildings' needs. Departmental budgets are submitted and reviewed by the Asst. Supt for Business in conjunction with the Superintendent of Schools to assess how to balance the budget with the anticipated revenues. Once finalized, the Board of Education is presented with the recommended budget.  The budget presentations are publicly held during the Winter/Spring in anticipation of a May vote.  There are multiple budget meetings that take place afterwards in order to review, discuss and finalize the budget for adoption by the Board in April.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Goshen Central School District has four school buildings, Scotchtown Avenue K - 2, Goshen Intermediate 3 - 5, CJ Hooker 6 - 8 and Goshen HS 9 - 12.</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Goshen Teachers Association compensation rates are based on longevity in the district which allows long-time employees to be rewarded.  This may impact the cost per building if long-term senior teaching staff remains at a higher level than another building with a more junior teaching staff.</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