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used enrollment across all schools to allocate costs that were not identified as central district costs.  This method seemed to be the most accurate way to apportion costs per the guidelines provided by the State.
</w:t>
      </w:r>
    </w:p>
    <w:p>
      <w:pPr>
        <w:ind w:left="720"/>
      </w:pPr>
      <w:r>
        <w:rPr>
          <w:rFonts w:ascii="Garamond" w:hAnsi="Garamond"/>
        </w:rPr>
        <w:t>
</w:t>
      </w:r>
    </w:p>
    <w:p>
      <w:pPr>
        <w:ind w:left="720"/>
      </w:pPr>
      <w:r>
        <w:rPr>
          <w:rFonts w:ascii="Garamond" w:hAnsi="Garamond"/>
        </w:rPr>
        <w:t>Gloversville had already been budgeting salaries and non-personnel expenditures at the building level.  For those costs not already accounted for, we summarized what those expenses were and aligned them with the template reporting categories taking into consideration which of our student population they most directly related to. The district’s administrative team, department chairpersons, and unit leaders collaboratively review student achievement data and make recommendations to the superintendent and Board of Education for use of those remaining funds.  Since Gloversville has a very high number of students and families with social/emotional needs, we look very closely at ways to provide academic and ancillary support services to those students and their families.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In part A:  OPEB numbers were not available at the time of submission, so the district used the 2019-2020 figure as an estimate.  Substitute FTE estimates were included in Other Districtwide Staff, as noted in the justification. CARES Act funding for cleaning supplies and salaries were attributed in Section IIIA to Operation and Maintenance of Plant, while funding for other instructional purposes were included in part C. 
</w:t>
      </w:r>
    </w:p>
    <w:p>
      <w:pPr>
        <w:ind w:left="720"/>
      </w:pPr>
      <w:r>
        <w:rPr>
          <w:rFonts w:ascii="Garamond" w:hAnsi="Garamond"/>
        </w:rPr>
        <w:t>In part B:  Staff FTE may differ in the "all other staff" because Buildings and Grounds staff FTEs were mistakenly included in the 2019-2020 submission.
</w:t>
      </w:r>
    </w:p>
    <w:p>
      <w:pPr>
        <w:ind w:left="720"/>
      </w:pPr>
      <w:r>
        <w:rPr>
          <w:rFonts w:ascii="Garamond" w:hAnsi="Garamond"/>
        </w:rPr>
        <w:t>In part D:  Pre-kindergarten figures (approximately $1.3M) don't tie out to the full $1.5M grant allocation because the district underestimates funding due to historical trends in the award being reduced mid-year based on actual student counts.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