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is a collaborative effort amongst all stakeholders at the District. The District Treasurer leads the budget development process which begins in December and ends when the budget is adopted by the Board of Education, usually in April.  The District Treasurer coordinates budget meetings with all applicable stakeholders, including (but not limited to):  Superintendent, K-12 Principal, Transportation Supervisor, Buildings &amp; Grounds Supervisor, Athletic Director, and Food Service Director.  Stakeholders prepare a list of budgetary requests and prioritizes them based on the needs of the students, faculty, and infrastructure. The Superintendent &amp; District Treasurer identify staffing needs based on programmatic requirements and students needs with the appropriate Supervisor(s)/Administration team. The district does not have more than one school building; all budgetary allocations are based upon the work completed in the budget meetings noted above. 
</w:t>
      </w:r>
    </w:p>
    <w:p>
      <w:pPr>
        <w:ind w:left="720"/>
      </w:pPr>
      <w:r>
        <w:rPr>
          <w:rFonts w:ascii="Garamond" w:hAnsi="Garamond"/>
        </w:rPr>
        <w:t>The district holds at least three budget workshops with the Board of Education during the budget development season to review the preliminary budget, and expressed questions/concerns/interest as needed. Past budgets have been developed with a rollover baseline budget first, then adjusted based on requests and funding and discussed as the preliminary budget with the Board of Education.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